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附件1</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方正公文小标宋" w:hAnsi="方正公文小标宋" w:eastAsia="方正公文小标宋" w:cs="方正公文小标宋"/>
          <w:sz w:val="36"/>
          <w:szCs w:val="36"/>
        </w:rPr>
      </w:pPr>
      <w:r>
        <w:rPr>
          <w:rFonts w:hint="eastAsia" w:ascii="方正公文小标宋" w:hAnsi="方正公文小标宋" w:eastAsia="方正公文小标宋" w:cs="方正公文小标宋"/>
          <w:sz w:val="36"/>
          <w:szCs w:val="36"/>
        </w:rPr>
        <w:t>费用拟定说明及听证会情况概要</w:t>
      </w: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一、制定依据与职责来源</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根据《武汉市房屋建筑工程超过一定规模危险性较大的分部分项工程专家论证管理指南（征求意见稿）》的有关要求，受市资建局委托，武汉建设安全协会协助开展武汉市超危大工程专项方案论证管理，负责技术性及平台使用咨询工作，其中涉及专家论证信息化管理系统使用服务费的参考价标准拟定。</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二、价格拟定过程与原则</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jc w:val="both"/>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（一）</w:t>
      </w:r>
      <w:r>
        <w:rPr>
          <w:rFonts w:hint="eastAsia" w:ascii="方正仿宋_GB2312" w:hAnsi="方正仿宋_GB2312" w:eastAsia="方正仿宋_GB2312" w:cs="方正仿宋_GB2312"/>
          <w:b/>
          <w:bCs/>
          <w:sz w:val="32"/>
          <w:szCs w:val="32"/>
          <w:lang w:val="en-US" w:eastAsia="zh-CN"/>
        </w:rPr>
        <w:t>程序合规性：</w:t>
      </w:r>
      <w:r>
        <w:rPr>
          <w:rFonts w:hint="eastAsia" w:ascii="仿宋" w:hAnsi="仿宋" w:eastAsia="仿宋" w:cs="仿宋"/>
          <w:sz w:val="32"/>
          <w:szCs w:val="32"/>
          <w:lang w:val="en-US" w:eastAsia="zh-CN"/>
        </w:rPr>
        <w:t>协会遵循公开、公平、公正原则，组织开展专题调研、行业座谈及费用听证会。</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jc w:val="both"/>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（二）</w:t>
      </w:r>
      <w:r>
        <w:rPr>
          <w:rFonts w:hint="eastAsia" w:ascii="方正仿宋_GB2312" w:hAnsi="方正仿宋_GB2312" w:eastAsia="方正仿宋_GB2312" w:cs="方正仿宋_GB2312"/>
          <w:b/>
          <w:bCs/>
          <w:sz w:val="32"/>
          <w:szCs w:val="32"/>
          <w:lang w:val="en-US" w:eastAsia="zh-CN"/>
        </w:rPr>
        <w:t>听证会概况：</w:t>
      </w:r>
      <w:r>
        <w:rPr>
          <w:rFonts w:hint="eastAsia" w:ascii="仿宋" w:hAnsi="仿宋" w:eastAsia="仿宋" w:cs="仿宋"/>
          <w:sz w:val="32"/>
          <w:szCs w:val="32"/>
          <w:lang w:val="en-US" w:eastAsia="zh-CN"/>
        </w:rPr>
        <w:t>本次听证会于2026年7月1日召开，邀请建筑施工企业、监理单位、行业专家及服务平台机构等代表共计30人参会。会议就平台使用功能、服务成本等展开充分讨论。</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jc w:val="both"/>
        <w:textAlignment w:val="auto"/>
        <w:rPr>
          <w:rFonts w:hint="eastAsia" w:ascii="仿宋_GB2312" w:hAnsi="仿宋_GB2312" w:eastAsia="仿宋_GB2312" w:cs="仿宋_GB2312"/>
          <w:sz w:val="32"/>
          <w:szCs w:val="32"/>
        </w:rPr>
      </w:pPr>
      <w:r>
        <w:rPr>
          <w:rFonts w:hint="eastAsia" w:ascii="方正仿宋_GB2312" w:hAnsi="方正仿宋_GB2312" w:eastAsia="方正仿宋_GB2312" w:cs="方正仿宋_GB2312"/>
          <w:sz w:val="32"/>
          <w:szCs w:val="32"/>
          <w:lang w:val="en-US" w:eastAsia="zh-CN"/>
        </w:rPr>
        <w:t>（三）</w:t>
      </w:r>
      <w:r>
        <w:rPr>
          <w:rFonts w:hint="eastAsia" w:ascii="方正仿宋_GB2312" w:hAnsi="方正仿宋_GB2312" w:eastAsia="方正仿宋_GB2312" w:cs="方正仿宋_GB2312"/>
          <w:b/>
          <w:bCs/>
          <w:sz w:val="32"/>
          <w:szCs w:val="32"/>
          <w:lang w:val="en-US" w:eastAsia="zh-CN"/>
        </w:rPr>
        <w:t>定价参考依据：</w:t>
      </w:r>
      <w:r>
        <w:rPr>
          <w:rFonts w:hint="eastAsia" w:ascii="仿宋" w:hAnsi="仿宋" w:eastAsia="仿宋" w:cs="仿宋"/>
          <w:sz w:val="32"/>
          <w:szCs w:val="32"/>
          <w:lang w:val="en-US" w:eastAsia="zh-CN"/>
        </w:rPr>
        <w:t>平台使用服务费综合考虑了系统开发维护、在线组织管理、全过程留痕存档、技术服务保障、网银和开票服务费等成本因素。</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三、费用构成说明</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jc w:val="both"/>
        <w:textAlignment w:val="auto"/>
        <w:rPr>
          <w:rFonts w:hint="eastAsia" w:ascii="方正仿宋_GB2312" w:hAnsi="方正仿宋_GB2312" w:eastAsia="方正仿宋_GB2312" w:cs="方正仿宋_GB2312"/>
          <w:sz w:val="32"/>
          <w:szCs w:val="32"/>
          <w:lang w:val="en-US" w:eastAsia="zh-CN"/>
        </w:rPr>
      </w:pPr>
      <w:r>
        <w:rPr>
          <w:rFonts w:hint="eastAsia" w:ascii="仿宋" w:hAnsi="仿宋" w:eastAsia="仿宋" w:cs="仿宋"/>
          <w:sz w:val="32"/>
          <w:szCs w:val="32"/>
          <w:lang w:val="en-US" w:eastAsia="zh-CN"/>
        </w:rPr>
        <w:t>平台使用服务费：涵盖通过统一信息化平台完成方案申请、专家抽取、会议组织、资料存档、电子签章及专家管理等功能的使用与技术保障费用。</w:t>
      </w:r>
      <w:r>
        <w:rPr>
          <w:rFonts w:hint="eastAsia" w:ascii="方正仿宋_GB2312" w:hAnsi="方正仿宋_GB2312" w:eastAsia="方正仿宋_GB2312" w:cs="方正仿宋_GB2312"/>
          <w:sz w:val="32"/>
          <w:szCs w:val="32"/>
          <w:lang w:val="en-US" w:eastAsia="zh-CN"/>
        </w:rPr>
        <w:br w:type="page"/>
      </w:r>
    </w:p>
    <w:p>
      <w:pPr>
        <w:jc w:val="both"/>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附件2</w:t>
      </w:r>
    </w:p>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方正公文小标宋" w:hAnsi="方正公文小标宋" w:eastAsia="方正公文小标宋" w:cs="方正公文小标宋"/>
          <w:sz w:val="36"/>
          <w:szCs w:val="36"/>
        </w:rPr>
      </w:pPr>
      <w:r>
        <w:rPr>
          <w:rFonts w:hint="eastAsia" w:ascii="方正公文小标宋" w:hAnsi="方正公文小标宋" w:eastAsia="方正公文小标宋" w:cs="方正公文小标宋"/>
          <w:sz w:val="36"/>
          <w:szCs w:val="36"/>
          <w:lang w:val="en-US" w:eastAsia="zh-CN"/>
        </w:rPr>
        <w:t>武汉市房屋建筑工程超危大工程专家论证信息化管理系统使用服务费参考价</w:t>
      </w:r>
    </w:p>
    <w:p>
      <w:pPr>
        <w:jc w:val="center"/>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（征求意见稿）</w:t>
      </w:r>
    </w:p>
    <w:p>
      <w:pPr>
        <w:rPr>
          <w:rFonts w:hint="eastAsia" w:ascii="方正仿宋_GB2312" w:hAnsi="方正仿宋_GB2312" w:eastAsia="方正仿宋_GB2312" w:cs="方正仿宋_GB2312"/>
          <w:sz w:val="32"/>
          <w:szCs w:val="32"/>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一、制定目的</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为规范我市危大工程专家论证信息化管理系统使用服务费的计取与支付行为，维护委托方及服务平台机构的合法权益，依据相关规定制定本参考价。</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二、适用范围</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方正仿宋_GB2312" w:hAnsi="方正仿宋_GB2312" w:eastAsia="方正仿宋_GB2312" w:cs="方正仿宋_GB2312"/>
          <w:sz w:val="32"/>
          <w:szCs w:val="32"/>
        </w:rPr>
      </w:pPr>
      <w:r>
        <w:rPr>
          <w:rFonts w:hint="eastAsia" w:ascii="仿宋" w:hAnsi="仿宋" w:eastAsia="仿宋" w:cs="仿宋"/>
          <w:sz w:val="32"/>
          <w:szCs w:val="32"/>
          <w:lang w:val="en-US" w:eastAsia="zh-CN"/>
        </w:rPr>
        <w:t>本参考价适用于武汉市行政区域内危险性较大的分部分项工程，按规定需组织专家进行方案论证的项目。</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三、费用项目与参考价标准</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7"/>
        <w:gridCol w:w="2086"/>
        <w:gridCol w:w="2438"/>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67" w:type="dxa"/>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30"/>
                <w:szCs w:val="30"/>
                <w:vertAlign w:val="baseline"/>
              </w:rPr>
            </w:pPr>
            <w:r>
              <w:rPr>
                <w:rFonts w:hint="eastAsia" w:ascii="宋体" w:hAnsi="宋体" w:eastAsia="宋体" w:cs="宋体"/>
                <w:sz w:val="30"/>
                <w:szCs w:val="30"/>
              </w:rPr>
              <w:t>费用项目</w:t>
            </w:r>
          </w:p>
        </w:tc>
        <w:tc>
          <w:tcPr>
            <w:tcW w:w="2086" w:type="dxa"/>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30"/>
                <w:szCs w:val="30"/>
                <w:vertAlign w:val="baseline"/>
              </w:rPr>
            </w:pPr>
            <w:r>
              <w:rPr>
                <w:rFonts w:hint="eastAsia" w:ascii="宋体" w:hAnsi="宋体" w:eastAsia="宋体" w:cs="宋体"/>
                <w:sz w:val="30"/>
                <w:szCs w:val="30"/>
              </w:rPr>
              <w:t>计费单位</w:t>
            </w:r>
          </w:p>
        </w:tc>
        <w:tc>
          <w:tcPr>
            <w:tcW w:w="2438" w:type="dxa"/>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30"/>
                <w:szCs w:val="30"/>
                <w:vertAlign w:val="baseline"/>
              </w:rPr>
            </w:pPr>
            <w:r>
              <w:rPr>
                <w:rFonts w:hint="eastAsia" w:ascii="宋体" w:hAnsi="宋体" w:eastAsia="宋体" w:cs="宋体"/>
                <w:sz w:val="30"/>
                <w:szCs w:val="30"/>
              </w:rPr>
              <w:t>参考价（人民币）</w:t>
            </w:r>
          </w:p>
        </w:tc>
        <w:tc>
          <w:tcPr>
            <w:tcW w:w="2131" w:type="dxa"/>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30"/>
                <w:szCs w:val="30"/>
                <w:vertAlign w:val="baseline"/>
              </w:rPr>
            </w:pPr>
            <w:r>
              <w:rPr>
                <w:rFonts w:hint="eastAsia" w:ascii="宋体" w:hAnsi="宋体" w:eastAsia="宋体" w:cs="宋体"/>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67" w:type="dxa"/>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平台使用</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仿宋_GB2312" w:hAnsi="方正仿宋_GB2312" w:eastAsia="方正仿宋_GB2312" w:cs="方正仿宋_GB2312"/>
                <w:sz w:val="30"/>
                <w:szCs w:val="30"/>
                <w:vertAlign w:val="baseline"/>
              </w:rPr>
            </w:pPr>
            <w:r>
              <w:rPr>
                <w:rFonts w:hint="eastAsia" w:ascii="方正仿宋_GB2312" w:hAnsi="方正仿宋_GB2312" w:eastAsia="方正仿宋_GB2312" w:cs="方正仿宋_GB2312"/>
                <w:sz w:val="30"/>
                <w:szCs w:val="30"/>
              </w:rPr>
              <w:t>服务费</w:t>
            </w:r>
          </w:p>
        </w:tc>
        <w:tc>
          <w:tcPr>
            <w:tcW w:w="2086"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sz w:val="30"/>
                <w:szCs w:val="30"/>
                <w:vertAlign w:val="baseline"/>
              </w:rPr>
            </w:pPr>
            <w:r>
              <w:rPr>
                <w:rFonts w:hint="eastAsia" w:ascii="方正仿宋_GB2312" w:hAnsi="方正仿宋_GB2312" w:eastAsia="方正仿宋_GB2312" w:cs="方正仿宋_GB2312"/>
                <w:sz w:val="30"/>
                <w:szCs w:val="30"/>
                <w:lang w:eastAsia="zh-CN"/>
              </w:rPr>
              <w:t>单</w:t>
            </w:r>
            <w:r>
              <w:rPr>
                <w:rFonts w:hint="eastAsia" w:ascii="方正仿宋_GB2312" w:hAnsi="方正仿宋_GB2312" w:eastAsia="方正仿宋_GB2312" w:cs="方正仿宋_GB2312"/>
                <w:sz w:val="30"/>
                <w:szCs w:val="30"/>
              </w:rPr>
              <w:t>个论证方案</w:t>
            </w:r>
          </w:p>
        </w:tc>
        <w:tc>
          <w:tcPr>
            <w:tcW w:w="2438"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sz w:val="30"/>
                <w:szCs w:val="30"/>
                <w:vertAlign w:val="baseline"/>
              </w:rPr>
            </w:pPr>
            <w:r>
              <w:rPr>
                <w:rFonts w:hint="eastAsia" w:ascii="仿宋" w:hAnsi="仿宋" w:eastAsia="仿宋" w:cs="仿宋"/>
                <w:sz w:val="30"/>
                <w:szCs w:val="30"/>
                <w:lang w:val="en-US" w:eastAsia="zh-CN"/>
              </w:rPr>
              <w:t>200</w:t>
            </w:r>
            <w:r>
              <w:rPr>
                <w:rFonts w:hint="eastAsia" w:ascii="方正仿宋_GB2312" w:hAnsi="方正仿宋_GB2312" w:eastAsia="方正仿宋_GB2312" w:cs="方正仿宋_GB2312"/>
                <w:sz w:val="30"/>
                <w:szCs w:val="30"/>
              </w:rPr>
              <w:t>元</w:t>
            </w:r>
          </w:p>
        </w:tc>
        <w:tc>
          <w:tcPr>
            <w:tcW w:w="2131" w:type="dxa"/>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仿宋_GB2312" w:hAnsi="方正仿宋_GB2312" w:eastAsia="方正仿宋_GB2312" w:cs="方正仿宋_GB2312"/>
                <w:sz w:val="30"/>
                <w:szCs w:val="30"/>
                <w:vertAlign w:val="baseline"/>
              </w:rPr>
            </w:pPr>
            <w:r>
              <w:rPr>
                <w:rFonts w:hint="eastAsia" w:ascii="方正仿宋_GB2312" w:hAnsi="方正仿宋_GB2312" w:eastAsia="方正仿宋_GB2312" w:cs="方正仿宋_GB2312"/>
                <w:sz w:val="30"/>
                <w:szCs w:val="30"/>
              </w:rPr>
              <w:t>包含平台建设维护、专家管理与技术服务等</w:t>
            </w:r>
          </w:p>
        </w:tc>
      </w:tr>
    </w:tbl>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四、费用说明</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一）平台使用服务费包含通过指定信息化平台完成论证申请、专家抽取与通知、报告生成与归档、会议组织、资料存档、专家管理等全过程技术服务成本，同时包括论证环节各阶段资料的留痕回溯、方案数据安全存储、系统专业技术保障、企业客服支持等配套服务成本。</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（二）参考价对应的服务内容为完成一个专项方案的一般性论证的全过程。</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（三）管理系统使用费，已全额包含企业缴费及开票对应的全部配套费用，具体包含两项硬性支出：</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1.网银交易手续费：企业每次线上缴费产生的银行网银转账手续费、平台收款通道服务费，均包含在费用内，由平台统一承担；</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方正仿宋_GB2312" w:hAnsi="方正仿宋_GB2312" w:eastAsia="方正仿宋_GB2312" w:cs="方正仿宋_GB2312"/>
          <w:sz w:val="32"/>
          <w:szCs w:val="32"/>
        </w:rPr>
      </w:pPr>
      <w:r>
        <w:rPr>
          <w:rFonts w:hint="eastAsia" w:ascii="仿宋" w:hAnsi="仿宋" w:eastAsia="仿宋" w:cs="仿宋"/>
          <w:sz w:val="32"/>
          <w:szCs w:val="32"/>
          <w:lang w:val="en-US" w:eastAsia="zh-CN"/>
        </w:rPr>
        <w:t>2.开票税费：根据国家财税规定，平台为企业开具正规服务费发票产生的增值税及附加税费、财税核算成本、开票系统运维成本，全部纳入单次费用成本。</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五、反馈意见表（样表）</w:t>
      </w:r>
    </w:p>
    <w:tbl>
      <w:tblPr>
        <w:tblStyle w:val="4"/>
        <w:tblW w:w="8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7"/>
        <w:gridCol w:w="2595"/>
        <w:gridCol w:w="1500"/>
        <w:gridCol w:w="20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2497" w:type="dxa"/>
            <w:vAlign w:val="center"/>
          </w:tcPr>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仿宋_GB2312" w:hAnsi="仿宋_GB2312" w:eastAsia="仿宋_GB2312" w:cs="仿宋_GB2312"/>
                <w:sz w:val="30"/>
                <w:szCs w:val="30"/>
                <w:vertAlign w:val="baseline"/>
                <w:lang w:val="en-US" w:eastAsia="zh-CN"/>
              </w:rPr>
            </w:pPr>
            <w:r>
              <w:rPr>
                <w:rFonts w:hint="eastAsia" w:ascii="仿宋_GB2312" w:hAnsi="仿宋_GB2312" w:eastAsia="仿宋_GB2312" w:cs="仿宋_GB2312"/>
                <w:sz w:val="30"/>
                <w:szCs w:val="30"/>
              </w:rPr>
              <w:t>反馈单位</w:t>
            </w:r>
            <w:r>
              <w:rPr>
                <w:rFonts w:hint="eastAsia" w:ascii="仿宋_GB2312" w:hAnsi="仿宋_GB2312" w:eastAsia="仿宋_GB2312" w:cs="仿宋_GB2312"/>
                <w:sz w:val="30"/>
                <w:szCs w:val="30"/>
                <w:lang w:val="en-US" w:eastAsia="zh-CN"/>
              </w:rPr>
              <w:t>/</w:t>
            </w:r>
            <w:r>
              <w:rPr>
                <w:rFonts w:hint="eastAsia" w:ascii="仿宋_GB2312" w:hAnsi="仿宋_GB2312" w:eastAsia="仿宋_GB2312" w:cs="仿宋_GB2312"/>
                <w:sz w:val="30"/>
                <w:szCs w:val="30"/>
              </w:rPr>
              <w:t>个人</w:t>
            </w:r>
          </w:p>
        </w:tc>
        <w:tc>
          <w:tcPr>
            <w:tcW w:w="2595" w:type="dxa"/>
            <w:vAlign w:val="center"/>
          </w:tcPr>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仿宋_GB2312" w:hAnsi="仿宋_GB2312" w:eastAsia="仿宋_GB2312" w:cs="仿宋_GB2312"/>
                <w:sz w:val="30"/>
                <w:szCs w:val="30"/>
                <w:vertAlign w:val="baseline"/>
                <w:lang w:val="en-US" w:eastAsia="zh-CN"/>
              </w:rPr>
            </w:pPr>
          </w:p>
        </w:tc>
        <w:tc>
          <w:tcPr>
            <w:tcW w:w="1500" w:type="dxa"/>
            <w:vAlign w:val="center"/>
          </w:tcPr>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仿宋_GB2312" w:hAnsi="仿宋_GB2312" w:eastAsia="仿宋_GB2312" w:cs="仿宋_GB2312"/>
                <w:sz w:val="30"/>
                <w:szCs w:val="30"/>
                <w:vertAlign w:val="baseline"/>
                <w:lang w:val="en-US" w:eastAsia="zh-CN"/>
              </w:rPr>
            </w:pPr>
            <w:r>
              <w:rPr>
                <w:rFonts w:hint="eastAsia" w:ascii="仿宋_GB2312" w:hAnsi="仿宋_GB2312" w:eastAsia="仿宋_GB2312" w:cs="仿宋_GB2312"/>
                <w:sz w:val="30"/>
                <w:szCs w:val="30"/>
              </w:rPr>
              <w:t>联系人</w:t>
            </w: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仿宋_GB2312" w:hAnsi="仿宋_GB2312" w:eastAsia="仿宋_GB2312" w:cs="仿宋_GB2312"/>
                <w:sz w:val="30"/>
                <w:szCs w:val="3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trPr>
        <w:tc>
          <w:tcPr>
            <w:tcW w:w="2497" w:type="dxa"/>
            <w:vAlign w:val="center"/>
          </w:tcPr>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仿宋_GB2312" w:hAnsi="仿宋_GB2312" w:eastAsia="仿宋_GB2312" w:cs="仿宋_GB2312"/>
                <w:sz w:val="30"/>
                <w:szCs w:val="30"/>
                <w:vertAlign w:val="baseline"/>
                <w:lang w:val="en-US" w:eastAsia="zh-CN"/>
              </w:rPr>
            </w:pPr>
            <w:r>
              <w:rPr>
                <w:rFonts w:hint="eastAsia" w:ascii="仿宋_GB2312" w:hAnsi="仿宋_GB2312" w:eastAsia="仿宋_GB2312" w:cs="仿宋_GB2312"/>
                <w:sz w:val="30"/>
                <w:szCs w:val="30"/>
              </w:rPr>
              <w:t>联系电话</w:t>
            </w:r>
          </w:p>
        </w:tc>
        <w:tc>
          <w:tcPr>
            <w:tcW w:w="2595" w:type="dxa"/>
            <w:vAlign w:val="center"/>
          </w:tcPr>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仿宋_GB2312" w:hAnsi="仿宋_GB2312" w:eastAsia="仿宋_GB2312" w:cs="仿宋_GB2312"/>
                <w:sz w:val="30"/>
                <w:szCs w:val="30"/>
                <w:vertAlign w:val="baseline"/>
                <w:lang w:val="en-US" w:eastAsia="zh-CN"/>
              </w:rPr>
            </w:pPr>
          </w:p>
        </w:tc>
        <w:tc>
          <w:tcPr>
            <w:tcW w:w="1500" w:type="dxa"/>
            <w:vAlign w:val="center"/>
          </w:tcPr>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仿宋_GB2312" w:hAnsi="仿宋_GB2312" w:eastAsia="仿宋_GB2312" w:cs="仿宋_GB2312"/>
                <w:sz w:val="30"/>
                <w:szCs w:val="30"/>
                <w:vertAlign w:val="baseline"/>
                <w:lang w:val="en-US" w:eastAsia="zh-CN"/>
              </w:rPr>
            </w:pPr>
            <w:r>
              <w:rPr>
                <w:rFonts w:hint="eastAsia" w:ascii="仿宋_GB2312" w:hAnsi="仿宋_GB2312" w:eastAsia="仿宋_GB2312" w:cs="仿宋_GB2312"/>
                <w:sz w:val="30"/>
                <w:szCs w:val="30"/>
              </w:rPr>
              <w:t>电子邮箱</w:t>
            </w:r>
          </w:p>
        </w:tc>
        <w:tc>
          <w:tcPr>
            <w:tcW w:w="2046" w:type="dxa"/>
            <w:vAlign w:val="center"/>
          </w:tcPr>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仿宋_GB2312" w:hAnsi="仿宋_GB2312" w:eastAsia="仿宋_GB2312" w:cs="仿宋_GB2312"/>
                <w:sz w:val="30"/>
                <w:szCs w:val="3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75" w:hRule="atLeast"/>
        </w:trPr>
        <w:tc>
          <w:tcPr>
            <w:tcW w:w="8638" w:type="dxa"/>
            <w:gridSpan w:val="4"/>
          </w:tcPr>
          <w:p>
            <w:pPr>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t>对平台服务费参考价的意见建议</w:t>
            </w:r>
            <w:r>
              <w:rPr>
                <w:rFonts w:hint="eastAsia" w:ascii="仿宋_GB2312" w:hAnsi="仿宋_GB2312" w:eastAsia="仿宋_GB2312" w:cs="仿宋_GB2312"/>
                <w:sz w:val="30"/>
                <w:szCs w:val="30"/>
                <w:lang w:val="en-US" w:eastAsia="zh-CN"/>
              </w:rPr>
              <w:t>:</w:t>
            </w:r>
          </w:p>
          <w:p>
            <w:pPr>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0"/>
                <w:szCs w:val="30"/>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0"/>
                <w:szCs w:val="30"/>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08" w:hRule="atLeast"/>
        </w:trPr>
        <w:tc>
          <w:tcPr>
            <w:tcW w:w="8638" w:type="dxa"/>
            <w:gridSpan w:val="4"/>
          </w:tcPr>
          <w:p>
            <w:pPr>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t>其他修改意见或建议</w:t>
            </w:r>
            <w:r>
              <w:rPr>
                <w:rFonts w:hint="eastAsia" w:ascii="仿宋_GB2312" w:hAnsi="仿宋_GB2312" w:eastAsia="仿宋_GB2312" w:cs="仿宋_GB2312"/>
                <w:sz w:val="30"/>
                <w:szCs w:val="30"/>
                <w:lang w:val="en-US" w:eastAsia="zh-CN"/>
              </w:rPr>
              <w:t>:</w:t>
            </w:r>
          </w:p>
          <w:p>
            <w:pPr>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0"/>
                <w:szCs w:val="30"/>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jc w:val="both"/>
        <w:textAlignment w:val="auto"/>
        <w:rPr>
          <w:rFonts w:hint="default" w:ascii="方正仿宋_GB2312" w:hAnsi="方正仿宋_GB2312" w:eastAsia="方正仿宋_GB2312" w:cs="方正仿宋_GB2312"/>
          <w:sz w:val="32"/>
          <w:szCs w:val="32"/>
          <w:lang w:val="en-US" w:eastAsia="zh-CN"/>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公文小标宋">
    <w:panose1 w:val="02000500000000000000"/>
    <w:charset w:val="86"/>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00000000" w:usb1="00000000" w:usb2="00000000" w:usb3="00000000" w:csb0="00000000" w:csb1="00000000"/>
  </w:font>
  <w:font w:name="仿宋_GB2312">
    <w:panose1 w:val="02010609030101010101"/>
    <w:charset w:val="86"/>
    <w:family w:val="auto"/>
    <w:pitch w:val="default"/>
    <w:sig w:usb0="00000000" w:usb1="00000000" w:usb2="00000000" w:usb3="00000000" w:csb0="00000000" w:csb1="00000000"/>
  </w:font>
  <w:font w:name="方正楷体_GBK">
    <w:panose1 w:val="02000000000000000000"/>
    <w:charset w:val="86"/>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818F7"/>
    <w:rsid w:val="648818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2026-07-06T01:44:00Z</dcterms:created>
  <dc:creator>爱喝AD钙的蓝胖子</dc:creator>
  <cp:lastModifiedBy>爱喝AD钙的蓝胖子</cp:lastModifiedBy>
  <dcterms:modified xsi:type="dcterms:W3CDTF">2026-07-06T01:45:23Z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